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FA" w:rsidRDefault="009224F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p>
    <w:p w:rsidR="009224FA" w:rsidRDefault="009224F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p>
    <w:p w:rsidR="00922ADA" w:rsidRPr="001C07D8" w:rsidRDefault="00827E19"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Pr>
          <w:rFonts w:ascii="Arial" w:eastAsia="Times New Roman" w:hAnsi="Arial" w:cs="Arial"/>
          <w:b/>
          <w:kern w:val="20"/>
          <w:sz w:val="20"/>
          <w:szCs w:val="20"/>
        </w:rPr>
        <w:t xml:space="preserve">ALTA 2021 </w:t>
      </w:r>
      <w:r w:rsidR="00424266" w:rsidRPr="001C07D8">
        <w:rPr>
          <w:rFonts w:ascii="Arial" w:eastAsia="Times New Roman" w:hAnsi="Arial" w:cs="Arial"/>
          <w:b/>
          <w:kern w:val="20"/>
          <w:sz w:val="20"/>
          <w:szCs w:val="20"/>
        </w:rPr>
        <w:t>EXPANDED COVERAGE RESIDENTIAL LOAN POLICY</w:t>
      </w:r>
    </w:p>
    <w:p w:rsidR="00424266" w:rsidRPr="001C07D8" w:rsidRDefault="009354B0"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Pr>
          <w:rFonts w:ascii="Arial" w:eastAsia="Times New Roman" w:hAnsi="Arial" w:cs="Arial"/>
          <w:b/>
          <w:kern w:val="20"/>
          <w:sz w:val="20"/>
          <w:szCs w:val="20"/>
        </w:rPr>
        <w:t xml:space="preserve">CURRENT ASSESSMENTS </w:t>
      </w:r>
    </w:p>
    <w:p w:rsidR="00424266" w:rsidRPr="001C07D8" w:rsidRDefault="00C201E6"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sidRPr="001C07D8">
        <w:rPr>
          <w:rFonts w:ascii="Arial" w:eastAsia="Times New Roman" w:hAnsi="Arial" w:cs="Arial"/>
          <w:b/>
          <w:kern w:val="20"/>
          <w:sz w:val="20"/>
          <w:szCs w:val="20"/>
        </w:rPr>
        <w:t xml:space="preserve">FOR ONE-TO-FOUR FAMILY RESIDENTIAL PROPERTY </w:t>
      </w:r>
    </w:p>
    <w:p w:rsidR="00424266" w:rsidRPr="001C07D8" w:rsidRDefault="00424266"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sidRPr="001C07D8">
        <w:rPr>
          <w:rFonts w:ascii="Arial" w:eastAsia="Times New Roman" w:hAnsi="Arial" w:cs="Arial"/>
          <w:b/>
          <w:kern w:val="20"/>
          <w:sz w:val="20"/>
          <w:szCs w:val="20"/>
        </w:rPr>
        <w:t xml:space="preserve">Issued </w:t>
      </w:r>
      <w:r w:rsidR="001C07D8">
        <w:rPr>
          <w:rFonts w:ascii="Arial" w:eastAsia="Times New Roman" w:hAnsi="Arial" w:cs="Arial"/>
          <w:b/>
          <w:kern w:val="20"/>
          <w:sz w:val="20"/>
          <w:szCs w:val="20"/>
        </w:rPr>
        <w:t>b</w:t>
      </w:r>
      <w:r w:rsidRPr="001C07D8">
        <w:rPr>
          <w:rFonts w:ascii="Arial" w:eastAsia="Times New Roman" w:hAnsi="Arial" w:cs="Arial"/>
          <w:b/>
          <w:kern w:val="20"/>
          <w:sz w:val="20"/>
          <w:szCs w:val="20"/>
        </w:rPr>
        <w:t xml:space="preserve">y </w:t>
      </w:r>
    </w:p>
    <w:p w:rsidR="00424266" w:rsidRPr="001C07D8" w:rsidRDefault="009224FA"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Pr>
          <w:rFonts w:ascii="Arial" w:eastAsia="Times New Roman" w:hAnsi="Arial" w:cs="Arial"/>
          <w:b/>
          <w:kern w:val="20"/>
          <w:sz w:val="20"/>
          <w:szCs w:val="20"/>
        </w:rPr>
        <w:t>WFG NATIONAL TITLE</w:t>
      </w:r>
      <w:r w:rsidR="00424266" w:rsidRPr="001C07D8">
        <w:rPr>
          <w:rFonts w:ascii="Arial" w:eastAsia="Times New Roman" w:hAnsi="Arial" w:cs="Arial"/>
          <w:b/>
          <w:kern w:val="20"/>
          <w:sz w:val="20"/>
          <w:szCs w:val="20"/>
        </w:rPr>
        <w:t xml:space="preserve"> INSURANCE COMPANY</w:t>
      </w:r>
    </w:p>
    <w:p w:rsidR="0017750E"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397370" w:rsidRPr="001C07D8" w:rsidRDefault="00397370" w:rsidP="001C07D8">
      <w:pPr>
        <w:widowControl w:val="0"/>
        <w:autoSpaceDE w:val="0"/>
        <w:autoSpaceDN w:val="0"/>
        <w:adjustRightInd w:val="0"/>
        <w:spacing w:after="0" w:line="240" w:lineRule="auto"/>
        <w:jc w:val="both"/>
        <w:rPr>
          <w:rFonts w:ascii="Arial" w:eastAsia="Times New Roman" w:hAnsi="Arial" w:cs="Arial"/>
          <w:kern w:val="20"/>
          <w:sz w:val="20"/>
          <w:szCs w:val="20"/>
        </w:rPr>
      </w:pPr>
    </w:p>
    <w:p w:rsidR="00424266" w:rsidRDefault="00424266" w:rsidP="00827E19">
      <w:pPr>
        <w:widowControl w:val="0"/>
        <w:autoSpaceDE w:val="0"/>
        <w:autoSpaceDN w:val="0"/>
        <w:adjustRightInd w:val="0"/>
        <w:spacing w:after="0" w:line="240" w:lineRule="auto"/>
        <w:jc w:val="center"/>
        <w:outlineLvl w:val="0"/>
        <w:rPr>
          <w:rFonts w:ascii="Arial" w:eastAsia="Times New Roman" w:hAnsi="Arial" w:cs="Arial"/>
          <w:kern w:val="20"/>
          <w:sz w:val="20"/>
          <w:szCs w:val="20"/>
        </w:rPr>
      </w:pPr>
      <w:r w:rsidRPr="001C07D8">
        <w:rPr>
          <w:rFonts w:ascii="Arial" w:eastAsia="Times New Roman" w:hAnsi="Arial" w:cs="Arial"/>
          <w:b/>
          <w:bCs/>
          <w:kern w:val="20"/>
          <w:sz w:val="20"/>
          <w:szCs w:val="20"/>
        </w:rPr>
        <w:t>SCHEDULE B</w:t>
      </w:r>
      <w:r w:rsidRPr="001C07D8">
        <w:rPr>
          <w:rFonts w:ascii="Arial" w:eastAsia="Times New Roman" w:hAnsi="Arial" w:cs="Arial"/>
          <w:kern w:val="20"/>
          <w:sz w:val="20"/>
          <w:szCs w:val="20"/>
        </w:rPr>
        <w:t xml:space="preserve"> </w:t>
      </w:r>
    </w:p>
    <w:p w:rsidR="00827E19" w:rsidRDefault="00827E19" w:rsidP="00827E19">
      <w:pPr>
        <w:widowControl w:val="0"/>
        <w:autoSpaceDE w:val="0"/>
        <w:autoSpaceDN w:val="0"/>
        <w:adjustRightInd w:val="0"/>
        <w:spacing w:after="0" w:line="240" w:lineRule="auto"/>
        <w:jc w:val="center"/>
        <w:outlineLvl w:val="0"/>
        <w:rPr>
          <w:rFonts w:ascii="Arial" w:eastAsia="Times New Roman" w:hAnsi="Arial" w:cs="Arial"/>
          <w:kern w:val="20"/>
          <w:sz w:val="20"/>
          <w:szCs w:val="20"/>
        </w:rPr>
      </w:pPr>
    </w:p>
    <w:p w:rsidR="00827E19"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r>
        <w:rPr>
          <w:rFonts w:ascii="Arial" w:eastAsia="Times New Roman" w:hAnsi="Arial" w:cs="Arial"/>
          <w:kern w:val="20"/>
          <w:sz w:val="20"/>
          <w:szCs w:val="20"/>
        </w:rPr>
        <w:t>Policy Number:</w:t>
      </w:r>
    </w:p>
    <w:p w:rsidR="00827E19"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p>
    <w:p w:rsidR="00827E19" w:rsidRPr="002B3AD0" w:rsidRDefault="00827E19" w:rsidP="00827E19">
      <w:pPr>
        <w:pStyle w:val="Heading2"/>
        <w:keepNext w:val="0"/>
        <w:contextualSpacing/>
        <w:rPr>
          <w:rFonts w:eastAsia="Arial"/>
          <w:b/>
          <w:sz w:val="20"/>
        </w:rPr>
      </w:pPr>
      <w:r w:rsidRPr="002B3AD0">
        <w:rPr>
          <w:rFonts w:eastAsia="Arial"/>
          <w:b/>
          <w:sz w:val="20"/>
        </w:rPr>
        <w:t>EXCEPTIONS FROM COVERAGE</w:t>
      </w:r>
    </w:p>
    <w:p w:rsidR="00827E19" w:rsidRPr="00B07DFC" w:rsidRDefault="00827E19" w:rsidP="00827E19">
      <w:pPr>
        <w:spacing w:after="0" w:line="240" w:lineRule="auto"/>
        <w:contextualSpacing/>
        <w:jc w:val="both"/>
        <w:rPr>
          <w:rFonts w:ascii="Arial" w:eastAsia="Arial" w:hAnsi="Arial" w:cs="Arial"/>
          <w:b/>
          <w:kern w:val="16"/>
          <w:sz w:val="20"/>
          <w:szCs w:val="20"/>
          <w14:cntxtAlts/>
        </w:rPr>
      </w:pPr>
    </w:p>
    <w:p w:rsidR="00827E19" w:rsidRPr="00B07DFC" w:rsidRDefault="00827E19" w:rsidP="00827E19">
      <w:pPr>
        <w:pStyle w:val="BodyText3"/>
        <w:contextualSpacing/>
        <w:rPr>
          <w:rFonts w:eastAsia="Arial"/>
          <w:bCs/>
          <w:sz w:val="20"/>
          <w:szCs w:val="20"/>
        </w:rPr>
      </w:pPr>
      <w:r w:rsidRPr="00827E19">
        <w:rPr>
          <w:rFonts w:ascii="Arial" w:eastAsia="Arial" w:hAnsi="Arial" w:cs="Arial"/>
          <w:b/>
          <w:sz w:val="20"/>
          <w:szCs w:val="20"/>
        </w:rPr>
        <w:t xml:space="preserve">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w:t>
      </w:r>
      <w:proofErr w:type="gramStart"/>
      <w:r w:rsidRPr="00827E19">
        <w:rPr>
          <w:rFonts w:ascii="Arial" w:eastAsia="Arial" w:hAnsi="Arial" w:cs="Arial"/>
          <w:b/>
          <w:sz w:val="20"/>
          <w:szCs w:val="20"/>
        </w:rPr>
        <w:t>excepted</w:t>
      </w:r>
      <w:proofErr w:type="gramEnd"/>
      <w:r w:rsidRPr="00827E19">
        <w:rPr>
          <w:rFonts w:ascii="Arial" w:eastAsia="Arial" w:hAnsi="Arial" w:cs="Arial"/>
          <w:b/>
          <w:sz w:val="20"/>
          <w:szCs w:val="20"/>
        </w:rPr>
        <w:t xml:space="preserve"> from coverage</w:t>
      </w:r>
      <w:r w:rsidRPr="00B07DFC">
        <w:rPr>
          <w:rFonts w:eastAsia="Arial"/>
          <w:sz w:val="20"/>
          <w:szCs w:val="20"/>
        </w:rPr>
        <w:t>.</w:t>
      </w:r>
    </w:p>
    <w:p w:rsidR="00827E19" w:rsidRPr="00B07DFC" w:rsidRDefault="00827E19" w:rsidP="00827E19">
      <w:pPr>
        <w:autoSpaceDE w:val="0"/>
        <w:autoSpaceDN w:val="0"/>
        <w:adjustRightInd w:val="0"/>
        <w:spacing w:after="0" w:line="240" w:lineRule="auto"/>
        <w:contextualSpacing/>
        <w:jc w:val="both"/>
        <w:rPr>
          <w:rFonts w:ascii="Arial" w:eastAsia="Times New Roman" w:hAnsi="Arial" w:cs="Arial"/>
          <w:kern w:val="16"/>
          <w:sz w:val="20"/>
          <w:szCs w:val="20"/>
          <w14:cntxtAlts/>
        </w:rPr>
      </w:pPr>
    </w:p>
    <w:p w:rsidR="00827E19" w:rsidRPr="00B07DFC" w:rsidRDefault="00827E19" w:rsidP="00827E19">
      <w:pPr>
        <w:spacing w:after="0" w:line="240" w:lineRule="auto"/>
        <w:contextualSpacing/>
        <w:jc w:val="both"/>
        <w:rPr>
          <w:rFonts w:ascii="Arial" w:eastAsia="Arial" w:hAnsi="Arial" w:cs="Arial"/>
          <w:kern w:val="16"/>
          <w:sz w:val="20"/>
          <w:szCs w:val="20"/>
          <w14:cntxtAlts/>
        </w:rPr>
      </w:pPr>
      <w:r w:rsidRPr="00B07DFC">
        <w:rPr>
          <w:rFonts w:ascii="Arial" w:eastAsia="Arial" w:hAnsi="Arial" w:cs="Arial"/>
          <w:kern w:val="16"/>
          <w:sz w:val="20"/>
          <w:szCs w:val="20"/>
          <w14:cntxtAlts/>
        </w:rPr>
        <w:t>This policy does not insure against loss or damage and the Company will not pay costs, attorneys’ fees, or expenses resulting from</w:t>
      </w:r>
      <w:r w:rsidRPr="002B3AD0">
        <w:rPr>
          <w:rFonts w:ascii="Arial" w:hAnsi="Arial"/>
          <w:kern w:val="16"/>
          <w:sz w:val="20"/>
          <w14:cntxtAlts/>
        </w:rPr>
        <w:t xml:space="preserve"> the </w:t>
      </w:r>
      <w:r w:rsidRPr="00B07DFC">
        <w:rPr>
          <w:rFonts w:ascii="Arial" w:eastAsia="Arial" w:hAnsi="Arial" w:cs="Arial"/>
          <w:kern w:val="16"/>
          <w:sz w:val="20"/>
          <w:szCs w:val="20"/>
          <w14:cntxtAlts/>
        </w:rPr>
        <w:t>terms and conditions of any lease or easement identified in Schedule A, and</w:t>
      </w:r>
      <w:r w:rsidRPr="002B3AD0">
        <w:rPr>
          <w:rFonts w:ascii="Arial" w:hAnsi="Arial"/>
          <w:kern w:val="16"/>
          <w:sz w:val="20"/>
          <w14:cntxtAlts/>
        </w:rPr>
        <w:t xml:space="preserve"> the following matters</w:t>
      </w:r>
      <w:r w:rsidRPr="00B07DFC">
        <w:rPr>
          <w:rFonts w:ascii="Arial" w:eastAsia="Arial" w:hAnsi="Arial" w:cs="Arial"/>
          <w:kern w:val="16"/>
          <w:sz w:val="20"/>
          <w:szCs w:val="20"/>
          <w14:cntxtAlts/>
        </w:rPr>
        <w:t>:</w:t>
      </w:r>
    </w:p>
    <w:p w:rsidR="00827E19" w:rsidRPr="00B07DFC" w:rsidRDefault="00827E19" w:rsidP="00827E19">
      <w:pPr>
        <w:spacing w:after="0" w:line="240" w:lineRule="auto"/>
        <w:contextualSpacing/>
        <w:jc w:val="center"/>
        <w:rPr>
          <w:rFonts w:ascii="Arial" w:eastAsia="Arial" w:hAnsi="Arial" w:cs="Arial"/>
          <w:b/>
          <w:kern w:val="16"/>
          <w:sz w:val="20"/>
          <w:szCs w:val="20"/>
          <w14:cntxtAlts/>
        </w:rPr>
      </w:pPr>
    </w:p>
    <w:p w:rsidR="00827E19" w:rsidRPr="00B07DFC" w:rsidRDefault="00827E19" w:rsidP="00827E19">
      <w:pPr>
        <w:spacing w:after="0" w:line="240" w:lineRule="auto"/>
        <w:contextualSpacing/>
        <w:jc w:val="center"/>
        <w:rPr>
          <w:rFonts w:ascii="Arial" w:eastAsia="Arial" w:hAnsi="Arial" w:cs="Arial"/>
          <w:b/>
          <w:kern w:val="16"/>
          <w:sz w:val="20"/>
          <w:szCs w:val="20"/>
          <w14:cntxtAlts/>
        </w:rPr>
      </w:pPr>
      <w:r w:rsidRPr="002B3AD0">
        <w:rPr>
          <w:rFonts w:ascii="Arial" w:hAnsi="Arial"/>
          <w:b/>
          <w:kern w:val="16"/>
          <w:sz w:val="20"/>
          <w14:cntxtAlts/>
        </w:rPr>
        <w:t>PART I</w:t>
      </w:r>
    </w:p>
    <w:p w:rsidR="00827E19" w:rsidRPr="00B07DFC" w:rsidRDefault="00827E19" w:rsidP="00827E19">
      <w:pPr>
        <w:autoSpaceDE w:val="0"/>
        <w:autoSpaceDN w:val="0"/>
        <w:adjustRightInd w:val="0"/>
        <w:spacing w:after="0" w:line="240" w:lineRule="auto"/>
        <w:ind w:left="720" w:hanging="720"/>
        <w:contextualSpacing/>
        <w:jc w:val="both"/>
        <w:rPr>
          <w:rFonts w:ascii="Arial" w:eastAsia="Times New Roman" w:hAnsi="Arial" w:cs="Arial"/>
          <w:b/>
          <w:kern w:val="16"/>
          <w:sz w:val="20"/>
          <w:szCs w:val="20"/>
          <w14:cntxtAlts/>
        </w:rPr>
      </w:pPr>
    </w:p>
    <w:p w:rsidR="00827E19" w:rsidRDefault="00827E19" w:rsidP="00827E19">
      <w:pPr>
        <w:autoSpaceDE w:val="0"/>
        <w:autoSpaceDN w:val="0"/>
        <w:adjustRightInd w:val="0"/>
        <w:spacing w:after="0" w:line="240" w:lineRule="auto"/>
        <w:ind w:left="540" w:hanging="540"/>
        <w:contextualSpacing/>
        <w:jc w:val="both"/>
        <w:rPr>
          <w:rFonts w:ascii="Arial" w:eastAsia="Times New Roman" w:hAnsi="Arial" w:cs="Arial"/>
          <w:bCs/>
          <w:kern w:val="16"/>
          <w:sz w:val="20"/>
          <w:szCs w:val="20"/>
          <w14:cntxtAlts/>
        </w:rPr>
      </w:pPr>
      <w:r w:rsidRPr="009354B0">
        <w:rPr>
          <w:rFonts w:ascii="Arial" w:eastAsia="Times New Roman" w:hAnsi="Arial" w:cs="Arial"/>
          <w:b/>
          <w:kern w:val="16"/>
          <w:sz w:val="20"/>
          <w:szCs w:val="20"/>
          <w14:cntxtAlts/>
        </w:rPr>
        <w:t>1.</w:t>
      </w:r>
      <w:r w:rsidRPr="009354B0">
        <w:rPr>
          <w:rFonts w:ascii="Arial" w:eastAsia="Times New Roman" w:hAnsi="Arial" w:cs="Arial"/>
          <w:b/>
          <w:kern w:val="16"/>
          <w:sz w:val="20"/>
          <w:szCs w:val="20"/>
          <w14:cntxtAlts/>
        </w:rPr>
        <w:tab/>
      </w:r>
      <w:r w:rsidRPr="009354B0">
        <w:rPr>
          <w:rFonts w:ascii="Arial" w:eastAsia="Times New Roman" w:hAnsi="Arial" w:cs="Arial"/>
          <w:bCs/>
          <w:kern w:val="16"/>
          <w:sz w:val="20"/>
          <w:szCs w:val="20"/>
          <w14:cntxtAlts/>
        </w:rPr>
        <w:t>The following State statutes, reference to which are made part of the ALTA 8.1 Environmental Protection Lien endorsement incorporated into this policy:</w:t>
      </w:r>
      <w:r w:rsidR="009354B0">
        <w:rPr>
          <w:rFonts w:ascii="Arial" w:eastAsia="Times New Roman" w:hAnsi="Arial" w:cs="Arial"/>
          <w:bCs/>
          <w:kern w:val="16"/>
          <w:sz w:val="20"/>
          <w:szCs w:val="20"/>
          <w14:cntxtAlts/>
        </w:rPr>
        <w:t xml:space="preserve"> </w:t>
      </w:r>
      <w:r w:rsidR="00B11A31">
        <w:rPr>
          <w:rFonts w:ascii="Arial" w:eastAsia="Times New Roman" w:hAnsi="Arial" w:cs="Arial"/>
          <w:bCs/>
          <w:kern w:val="16"/>
          <w:sz w:val="20"/>
          <w:szCs w:val="20"/>
          <w14:cntxtAlts/>
        </w:rPr>
        <w:t>NONE</w:t>
      </w:r>
      <w:bookmarkStart w:id="0" w:name="_GoBack"/>
      <w:bookmarkEnd w:id="0"/>
    </w:p>
    <w:p w:rsidR="0028189F" w:rsidRPr="00B07DFC" w:rsidRDefault="0028189F" w:rsidP="00827E19">
      <w:pPr>
        <w:autoSpaceDE w:val="0"/>
        <w:autoSpaceDN w:val="0"/>
        <w:adjustRightInd w:val="0"/>
        <w:spacing w:after="0" w:line="240" w:lineRule="auto"/>
        <w:ind w:left="540" w:hanging="540"/>
        <w:contextualSpacing/>
        <w:jc w:val="both"/>
        <w:rPr>
          <w:rFonts w:ascii="Arial" w:eastAsia="Times New Roman" w:hAnsi="Arial" w:cs="Arial"/>
          <w:b/>
          <w:kern w:val="16"/>
          <w:sz w:val="20"/>
          <w:szCs w:val="20"/>
          <w14:cntxtAlts/>
        </w:rPr>
      </w:pP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Default="00827E19" w:rsidP="00827E19">
      <w:pPr>
        <w:spacing w:after="0" w:line="240" w:lineRule="auto"/>
        <w:contextualSpacing/>
        <w:rPr>
          <w:rFonts w:ascii="Arial" w:eastAsia="Arial" w:hAnsi="Arial" w:cs="Arial"/>
          <w:i/>
          <w:kern w:val="16"/>
          <w:sz w:val="20"/>
          <w:szCs w:val="20"/>
          <w14:cntxtAlts/>
        </w:rPr>
      </w:pPr>
      <w:r w:rsidRPr="00B07DFC">
        <w:rPr>
          <w:rFonts w:ascii="Arial" w:eastAsia="Arial" w:hAnsi="Arial" w:cs="Arial"/>
          <w:i/>
          <w:kern w:val="16"/>
          <w:sz w:val="20"/>
          <w:szCs w:val="20"/>
          <w14:cntxtAlts/>
        </w:rPr>
        <w:t>(Insert Schedule B exceptions here)</w:t>
      </w: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Pr="00B07DFC" w:rsidRDefault="00827E19" w:rsidP="00827E19">
      <w:pPr>
        <w:autoSpaceDE w:val="0"/>
        <w:autoSpaceDN w:val="0"/>
        <w:adjustRightInd w:val="0"/>
        <w:spacing w:after="0" w:line="240" w:lineRule="auto"/>
        <w:contextualSpacing/>
        <w:jc w:val="center"/>
        <w:outlineLvl w:val="0"/>
        <w:rPr>
          <w:rFonts w:ascii="Arial" w:eastAsia="Times New Roman" w:hAnsi="Arial" w:cs="Arial"/>
          <w:b/>
          <w:bCs/>
          <w:kern w:val="16"/>
          <w:sz w:val="20"/>
          <w:szCs w:val="20"/>
          <w14:ligatures w14:val="standard"/>
          <w14:cntxtAlts/>
        </w:rPr>
      </w:pPr>
      <w:r w:rsidRPr="002B3AD0">
        <w:rPr>
          <w:rFonts w:ascii="Arial" w:hAnsi="Arial"/>
          <w:b/>
          <w:kern w:val="16"/>
          <w:sz w:val="20"/>
          <w14:ligatures w14:val="standard"/>
          <w14:cntxtAlts/>
        </w:rPr>
        <w:t>PART II</w:t>
      </w:r>
    </w:p>
    <w:p w:rsidR="00827E19" w:rsidRPr="00B07DFC" w:rsidRDefault="00827E19" w:rsidP="00827E19">
      <w:pPr>
        <w:autoSpaceDE w:val="0"/>
        <w:autoSpaceDN w:val="0"/>
        <w:adjustRightInd w:val="0"/>
        <w:spacing w:after="0" w:line="240" w:lineRule="auto"/>
        <w:contextualSpacing/>
        <w:jc w:val="center"/>
        <w:outlineLvl w:val="0"/>
        <w:rPr>
          <w:rFonts w:ascii="Arial" w:eastAsia="Times New Roman" w:hAnsi="Arial" w:cs="Arial"/>
          <w:kern w:val="16"/>
          <w:sz w:val="20"/>
          <w:szCs w:val="20"/>
          <w14:ligatures w14:val="standard"/>
          <w14:cntxtAlts/>
        </w:rPr>
      </w:pPr>
    </w:p>
    <w:p w:rsidR="00827E19" w:rsidRDefault="00827E19" w:rsidP="00827E19">
      <w:pPr>
        <w:autoSpaceDE w:val="0"/>
        <w:autoSpaceDN w:val="0"/>
        <w:adjustRightInd w:val="0"/>
        <w:spacing w:after="0" w:line="240" w:lineRule="auto"/>
        <w:contextualSpacing/>
        <w:jc w:val="both"/>
        <w:rPr>
          <w:rFonts w:ascii="Arial" w:eastAsia="Times New Roman" w:hAnsi="Arial" w:cs="Arial"/>
          <w:kern w:val="16"/>
          <w:sz w:val="20"/>
          <w:szCs w:val="20"/>
          <w14:ligatures w14:val="standard"/>
          <w14:cntxtAlts/>
        </w:rPr>
      </w:pPr>
      <w:r w:rsidRPr="00B07DFC">
        <w:rPr>
          <w:rFonts w:ascii="Arial" w:eastAsia="Times New Roman" w:hAnsi="Arial" w:cs="Arial"/>
          <w:kern w:val="16"/>
          <w:sz w:val="20"/>
          <w:szCs w:val="20"/>
          <w14:ligatures w14:val="standard"/>
          <w14:cntxtAlts/>
        </w:rPr>
        <w:t>Covered Risk 10</w:t>
      </w:r>
      <w:r w:rsidRPr="002B3AD0">
        <w:rPr>
          <w:rFonts w:ascii="Arial" w:hAnsi="Arial"/>
          <w:kern w:val="16"/>
          <w:sz w:val="20"/>
          <w14:ligatures w14:val="standard"/>
          <w14:cntxtAlts/>
        </w:rPr>
        <w:t xml:space="preserve"> insures against loss or damage sustained </w:t>
      </w:r>
      <w:r w:rsidRPr="00B07DFC">
        <w:rPr>
          <w:rFonts w:ascii="Arial" w:eastAsia="Times New Roman" w:hAnsi="Arial" w:cs="Arial"/>
          <w:kern w:val="16"/>
          <w:sz w:val="20"/>
          <w:szCs w:val="20"/>
          <w14:ligatures w14:val="standard"/>
          <w14:cntxtAlts/>
        </w:rPr>
        <w:t>by the Insured by reason of the lack of priority of the lien of the Insured Mortgage over the matters listed in Part II, subject to the terms and conditions of any subordination provision in a matter listed in Part</w:t>
      </w:r>
      <w:r w:rsidRPr="00827E19">
        <w:rPr>
          <w:rFonts w:ascii="Arial" w:eastAsia="Times New Roman" w:hAnsi="Arial" w:cs="Arial"/>
          <w:i/>
          <w:kern w:val="16"/>
          <w:sz w:val="20"/>
          <w:szCs w:val="20"/>
          <w14:ligatures w14:val="standard"/>
          <w14:cntxtAlts/>
        </w:rPr>
        <w:t xml:space="preserve"> </w:t>
      </w:r>
      <w:r w:rsidRPr="00827E19">
        <w:rPr>
          <w:rFonts w:ascii="Arial" w:eastAsia="Times New Roman" w:hAnsi="Arial" w:cs="Arial"/>
          <w:kern w:val="16"/>
          <w:sz w:val="20"/>
          <w:szCs w:val="20"/>
          <w14:ligatures w14:val="standard"/>
          <w14:cntxtAlts/>
        </w:rPr>
        <w:t>II</w:t>
      </w:r>
      <w:r w:rsidRPr="00B07DFC">
        <w:rPr>
          <w:rFonts w:ascii="Arial" w:eastAsia="Times New Roman" w:hAnsi="Arial" w:cs="Arial"/>
          <w:kern w:val="16"/>
          <w:sz w:val="20"/>
          <w:szCs w:val="20"/>
          <w14:ligatures w14:val="standard"/>
          <w14:cntxtAlts/>
        </w:rPr>
        <w:t>:</w:t>
      </w:r>
    </w:p>
    <w:p w:rsidR="00827E19" w:rsidRPr="002B3AD0" w:rsidRDefault="00827E19" w:rsidP="00827E19">
      <w:pPr>
        <w:autoSpaceDE w:val="0"/>
        <w:autoSpaceDN w:val="0"/>
        <w:adjustRightInd w:val="0"/>
        <w:spacing w:after="0" w:line="240" w:lineRule="auto"/>
        <w:contextualSpacing/>
        <w:jc w:val="both"/>
        <w:rPr>
          <w:rFonts w:ascii="Arial" w:hAnsi="Arial"/>
          <w:b/>
          <w:kern w:val="16"/>
          <w:sz w:val="20"/>
          <w14:ligatures w14:val="standard"/>
          <w14:cntxtAlts/>
        </w:rPr>
      </w:pPr>
    </w:p>
    <w:p w:rsidR="00827E19" w:rsidRPr="001C07D8"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397370" w:rsidRPr="001C07D8" w:rsidRDefault="00397370" w:rsidP="00796482">
      <w:pPr>
        <w:widowControl w:val="0"/>
        <w:autoSpaceDE w:val="0"/>
        <w:autoSpaceDN w:val="0"/>
        <w:adjustRightInd w:val="0"/>
        <w:spacing w:after="0" w:line="240" w:lineRule="auto"/>
        <w:outlineLvl w:val="0"/>
        <w:rPr>
          <w:rFonts w:ascii="Arial" w:eastAsia="Times New Roman" w:hAnsi="Arial" w:cs="Arial"/>
          <w:b/>
          <w:bCs/>
          <w:kern w:val="20"/>
          <w:sz w:val="20"/>
          <w:szCs w:val="20"/>
        </w:rPr>
      </w:pPr>
    </w:p>
    <w:sectPr w:rsidR="00397370" w:rsidRPr="001C07D8" w:rsidSect="00827E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456" w:rsidRDefault="00D31456">
      <w:pPr>
        <w:spacing w:after="0" w:line="240" w:lineRule="auto"/>
      </w:pPr>
      <w:r>
        <w:separator/>
      </w:r>
    </w:p>
  </w:endnote>
  <w:endnote w:type="continuationSeparator" w:id="0">
    <w:p w:rsidR="00D31456" w:rsidRDefault="00D3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6113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Pr="006113FA" w:rsidRDefault="009224FA" w:rsidP="009224FA">
    <w:pPr>
      <w:pStyle w:val="Footer"/>
      <w:rPr>
        <w:rFonts w:ascii="Arial" w:hAnsi="Arial" w:cs="Arial"/>
        <w:bCs/>
        <w:kern w:val="16"/>
        <w:sz w:val="16"/>
        <w:szCs w:val="16"/>
      </w:rPr>
    </w:pPr>
    <w:r w:rsidRPr="006113FA">
      <w:rPr>
        <w:rFonts w:ascii="Arial" w:hAnsi="Arial" w:cs="Arial"/>
        <w:bCs/>
        <w:kern w:val="16"/>
        <w:sz w:val="16"/>
        <w:szCs w:val="16"/>
      </w:rPr>
      <w:t xml:space="preserve">ALTA </w:t>
    </w:r>
    <w:r w:rsidR="00827E19" w:rsidRPr="006113FA">
      <w:rPr>
        <w:rFonts w:ascii="Arial" w:hAnsi="Arial" w:cs="Arial"/>
        <w:bCs/>
        <w:kern w:val="16"/>
        <w:sz w:val="16"/>
        <w:szCs w:val="16"/>
      </w:rPr>
      <w:t xml:space="preserve">2021 </w:t>
    </w:r>
    <w:r w:rsidRPr="006113FA">
      <w:rPr>
        <w:rFonts w:ascii="Arial" w:hAnsi="Arial" w:cs="Arial"/>
        <w:bCs/>
        <w:kern w:val="16"/>
        <w:sz w:val="16"/>
        <w:szCs w:val="16"/>
      </w:rPr>
      <w:t>Expanded Coverage Residential Loan Policy</w:t>
    </w:r>
    <w:r w:rsidR="00641E0C" w:rsidRPr="006113FA">
      <w:rPr>
        <w:rFonts w:ascii="Arial" w:hAnsi="Arial" w:cs="Arial"/>
        <w:bCs/>
        <w:kern w:val="16"/>
        <w:sz w:val="16"/>
        <w:szCs w:val="16"/>
      </w:rPr>
      <w:t>-Current Assessments</w:t>
    </w:r>
    <w:r w:rsidRPr="006113FA">
      <w:rPr>
        <w:rFonts w:ascii="Arial" w:hAnsi="Arial" w:cs="Arial"/>
        <w:bCs/>
        <w:kern w:val="16"/>
        <w:sz w:val="16"/>
        <w:szCs w:val="16"/>
      </w:rPr>
      <w:t xml:space="preserve"> </w:t>
    </w:r>
    <w:r w:rsidR="002D3148" w:rsidRPr="006113FA">
      <w:rPr>
        <w:rFonts w:ascii="Arial" w:hAnsi="Arial" w:cs="Arial"/>
        <w:bCs/>
        <w:kern w:val="16"/>
        <w:sz w:val="16"/>
        <w:szCs w:val="16"/>
      </w:rPr>
      <w:t>Schedule B</w:t>
    </w:r>
    <w:r w:rsidR="00827E19" w:rsidRPr="006113FA">
      <w:rPr>
        <w:rFonts w:ascii="Arial" w:hAnsi="Arial" w:cs="Arial"/>
        <w:bCs/>
        <w:kern w:val="16"/>
        <w:sz w:val="16"/>
        <w:szCs w:val="16"/>
      </w:rPr>
      <w:t>I and BII</w:t>
    </w:r>
    <w:r w:rsidR="0015478B" w:rsidRPr="006113FA">
      <w:rPr>
        <w:rFonts w:ascii="Arial" w:hAnsi="Arial" w:cs="Arial"/>
        <w:bCs/>
        <w:kern w:val="16"/>
        <w:sz w:val="16"/>
        <w:szCs w:val="16"/>
      </w:rPr>
      <w:t xml:space="preserve"> </w:t>
    </w:r>
  </w:p>
  <w:p w:rsidR="00397370" w:rsidRDefault="0015478B" w:rsidP="009224FA">
    <w:pPr>
      <w:pStyle w:val="Footer"/>
      <w:rPr>
        <w:rFonts w:ascii="Arial" w:hAnsi="Arial" w:cs="Arial"/>
        <w:bCs/>
        <w:kern w:val="16"/>
        <w:sz w:val="16"/>
        <w:szCs w:val="16"/>
      </w:rPr>
    </w:pPr>
    <w:r w:rsidRPr="006113FA">
      <w:rPr>
        <w:rFonts w:ascii="Arial" w:hAnsi="Arial" w:cs="Arial"/>
        <w:bCs/>
        <w:kern w:val="16"/>
        <w:sz w:val="16"/>
        <w:szCs w:val="16"/>
      </w:rPr>
      <w:t>07-01-2021</w:t>
    </w:r>
  </w:p>
  <w:p w:rsidR="006113FA" w:rsidRPr="006113FA" w:rsidRDefault="006113FA" w:rsidP="009224FA">
    <w:pPr>
      <w:pStyle w:val="Footer"/>
      <w:rPr>
        <w:rFonts w:ascii="Arial" w:hAnsi="Arial" w:cs="Arial"/>
        <w:bCs/>
        <w:kern w:val="16"/>
        <w:sz w:val="16"/>
        <w:szCs w:val="16"/>
      </w:rPr>
    </w:pPr>
    <w:r>
      <w:rPr>
        <w:rFonts w:ascii="Arial" w:hAnsi="Arial" w:cs="Arial"/>
        <w:bCs/>
        <w:kern w:val="16"/>
        <w:sz w:val="16"/>
        <w:szCs w:val="16"/>
      </w:rPr>
      <w:t>3177900-BI-BII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611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456" w:rsidRDefault="00D31456">
      <w:pPr>
        <w:spacing w:after="0" w:line="240" w:lineRule="auto"/>
      </w:pPr>
      <w:r>
        <w:separator/>
      </w:r>
    </w:p>
  </w:footnote>
  <w:footnote w:type="continuationSeparator" w:id="0">
    <w:p w:rsidR="00D31456" w:rsidRDefault="00D31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6113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5A" w:rsidRDefault="0091735A">
    <w:pPr>
      <w:pStyle w:val="Header"/>
    </w:pPr>
    <w:r>
      <w:rPr>
        <w:rFonts w:cs="Arial"/>
        <w:noProof/>
        <w:sz w:val="16"/>
        <w:szCs w:val="20"/>
      </w:rPr>
      <w:drawing>
        <wp:anchor distT="0" distB="0" distL="114300" distR="114300" simplePos="0" relativeHeight="251658240" behindDoc="0" locked="0" layoutInCell="1" allowOverlap="1" wp14:anchorId="11A31A8A" wp14:editId="393DD63B">
          <wp:simplePos x="0" y="0"/>
          <wp:positionH relativeFrom="column">
            <wp:posOffset>1467465</wp:posOffset>
          </wp:positionH>
          <wp:positionV relativeFrom="paragraph">
            <wp:posOffset>-324465</wp:posOffset>
          </wp:positionV>
          <wp:extent cx="3026410" cy="781050"/>
          <wp:effectExtent l="19050" t="0" r="2540" b="0"/>
          <wp:wrapNone/>
          <wp:docPr id="10" name="Picture 10"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6113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000"/>
    <w:multiLevelType w:val="hybridMultilevel"/>
    <w:tmpl w:val="7916BD0E"/>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B65006"/>
    <w:multiLevelType w:val="hybridMultilevel"/>
    <w:tmpl w:val="977297CE"/>
    <w:lvl w:ilvl="0" w:tplc="F1EC9F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66E4E"/>
    <w:multiLevelType w:val="hybridMultilevel"/>
    <w:tmpl w:val="B6880C32"/>
    <w:lvl w:ilvl="0" w:tplc="AB1E51FA">
      <w:start w:val="1"/>
      <w:numFmt w:val="lowerLetter"/>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7000D71"/>
    <w:multiLevelType w:val="hybridMultilevel"/>
    <w:tmpl w:val="CA687846"/>
    <w:lvl w:ilvl="0" w:tplc="8DBABD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80496"/>
    <w:multiLevelType w:val="hybridMultilevel"/>
    <w:tmpl w:val="92EA7D42"/>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97371A"/>
    <w:multiLevelType w:val="hybridMultilevel"/>
    <w:tmpl w:val="401CD498"/>
    <w:lvl w:ilvl="0" w:tplc="70FE1EF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23913"/>
    <w:multiLevelType w:val="hybridMultilevel"/>
    <w:tmpl w:val="FDC64720"/>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E76CC5"/>
    <w:multiLevelType w:val="hybridMultilevel"/>
    <w:tmpl w:val="3AE239D8"/>
    <w:lvl w:ilvl="0" w:tplc="F1EC9FB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D040583"/>
    <w:multiLevelType w:val="hybridMultilevel"/>
    <w:tmpl w:val="952E9DFA"/>
    <w:lvl w:ilvl="0" w:tplc="02FA80D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DF92A18"/>
    <w:multiLevelType w:val="hybridMultilevel"/>
    <w:tmpl w:val="E3E0A812"/>
    <w:lvl w:ilvl="0" w:tplc="DA1A9EB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E071A59"/>
    <w:multiLevelType w:val="hybridMultilevel"/>
    <w:tmpl w:val="5D8C2770"/>
    <w:lvl w:ilvl="0" w:tplc="DA1A9E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04248B6"/>
    <w:multiLevelType w:val="hybridMultilevel"/>
    <w:tmpl w:val="0E82E07E"/>
    <w:lvl w:ilvl="0" w:tplc="EFB6C00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BCD2074"/>
    <w:multiLevelType w:val="hybridMultilevel"/>
    <w:tmpl w:val="54ACD9B0"/>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235A2"/>
    <w:multiLevelType w:val="hybridMultilevel"/>
    <w:tmpl w:val="481A7758"/>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527C1"/>
    <w:multiLevelType w:val="hybridMultilevel"/>
    <w:tmpl w:val="3F3C2D90"/>
    <w:lvl w:ilvl="0" w:tplc="6FC2079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F43A9"/>
    <w:multiLevelType w:val="hybridMultilevel"/>
    <w:tmpl w:val="C9E25C4C"/>
    <w:lvl w:ilvl="0" w:tplc="77E0564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2100A"/>
    <w:multiLevelType w:val="hybridMultilevel"/>
    <w:tmpl w:val="B532DA84"/>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445A91"/>
    <w:multiLevelType w:val="hybridMultilevel"/>
    <w:tmpl w:val="7B40C0DC"/>
    <w:lvl w:ilvl="0" w:tplc="5BA40794">
      <w:start w:val="2"/>
      <w:numFmt w:val="lowerLetter"/>
      <w:lvlText w:val="(%1)"/>
      <w:lvlJc w:val="left"/>
      <w:pPr>
        <w:ind w:left="108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C215B80"/>
    <w:multiLevelType w:val="hybridMultilevel"/>
    <w:tmpl w:val="F4B0A9C2"/>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8"/>
  </w:num>
  <w:num w:numId="5">
    <w:abstractNumId w:val="16"/>
  </w:num>
  <w:num w:numId="6">
    <w:abstractNumId w:val="12"/>
  </w:num>
  <w:num w:numId="7">
    <w:abstractNumId w:val="7"/>
  </w:num>
  <w:num w:numId="8">
    <w:abstractNumId w:val="0"/>
  </w:num>
  <w:num w:numId="9">
    <w:abstractNumId w:val="9"/>
  </w:num>
  <w:num w:numId="10">
    <w:abstractNumId w:val="2"/>
  </w:num>
  <w:num w:numId="11">
    <w:abstractNumId w:val="4"/>
  </w:num>
  <w:num w:numId="12">
    <w:abstractNumId w:val="1"/>
  </w:num>
  <w:num w:numId="13">
    <w:abstractNumId w:val="17"/>
  </w:num>
  <w:num w:numId="14">
    <w:abstractNumId w:val="14"/>
  </w:num>
  <w:num w:numId="15">
    <w:abstractNumId w:val="10"/>
  </w:num>
  <w:num w:numId="16">
    <w:abstractNumId w:val="6"/>
  </w:num>
  <w:num w:numId="17">
    <w:abstractNumId w:val="3"/>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66"/>
    <w:rsid w:val="00044C6F"/>
    <w:rsid w:val="0008247C"/>
    <w:rsid w:val="00096344"/>
    <w:rsid w:val="00151123"/>
    <w:rsid w:val="0015478B"/>
    <w:rsid w:val="00156679"/>
    <w:rsid w:val="0017750E"/>
    <w:rsid w:val="001A2131"/>
    <w:rsid w:val="001C07D8"/>
    <w:rsid w:val="0022134F"/>
    <w:rsid w:val="00251759"/>
    <w:rsid w:val="0028189F"/>
    <w:rsid w:val="002B5AA5"/>
    <w:rsid w:val="002D3148"/>
    <w:rsid w:val="002E66BF"/>
    <w:rsid w:val="00356EC2"/>
    <w:rsid w:val="003738D7"/>
    <w:rsid w:val="00397370"/>
    <w:rsid w:val="003B6153"/>
    <w:rsid w:val="003B75C2"/>
    <w:rsid w:val="003D3894"/>
    <w:rsid w:val="00424266"/>
    <w:rsid w:val="00434595"/>
    <w:rsid w:val="0050346A"/>
    <w:rsid w:val="00506D9D"/>
    <w:rsid w:val="00511315"/>
    <w:rsid w:val="005C5B21"/>
    <w:rsid w:val="006113FA"/>
    <w:rsid w:val="00641E0C"/>
    <w:rsid w:val="0068790A"/>
    <w:rsid w:val="006A2691"/>
    <w:rsid w:val="006A4D7A"/>
    <w:rsid w:val="006E723B"/>
    <w:rsid w:val="00787CDC"/>
    <w:rsid w:val="00796482"/>
    <w:rsid w:val="007F000E"/>
    <w:rsid w:val="007F5B62"/>
    <w:rsid w:val="00827E19"/>
    <w:rsid w:val="0084755F"/>
    <w:rsid w:val="00851803"/>
    <w:rsid w:val="0091735A"/>
    <w:rsid w:val="009224FA"/>
    <w:rsid w:val="00922ADA"/>
    <w:rsid w:val="009354B0"/>
    <w:rsid w:val="00963748"/>
    <w:rsid w:val="009F7618"/>
    <w:rsid w:val="00AB4CEA"/>
    <w:rsid w:val="00AB753C"/>
    <w:rsid w:val="00AC6055"/>
    <w:rsid w:val="00B11A31"/>
    <w:rsid w:val="00B3001B"/>
    <w:rsid w:val="00B31408"/>
    <w:rsid w:val="00B567D8"/>
    <w:rsid w:val="00B6465F"/>
    <w:rsid w:val="00BC542B"/>
    <w:rsid w:val="00BE0CDC"/>
    <w:rsid w:val="00C11E00"/>
    <w:rsid w:val="00C201E6"/>
    <w:rsid w:val="00C31962"/>
    <w:rsid w:val="00C716F5"/>
    <w:rsid w:val="00C8548F"/>
    <w:rsid w:val="00D014EC"/>
    <w:rsid w:val="00D31456"/>
    <w:rsid w:val="00DB1802"/>
    <w:rsid w:val="00DE4B74"/>
    <w:rsid w:val="00F1162A"/>
    <w:rsid w:val="00F71FEF"/>
    <w:rsid w:val="00FB4C72"/>
    <w:rsid w:val="00FD6522"/>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95A730-1232-4BA2-8752-CEE485B7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27E19"/>
    <w:pPr>
      <w:keepNext/>
      <w:spacing w:after="0" w:line="240" w:lineRule="auto"/>
      <w:jc w:val="center"/>
      <w:outlineLvl w:val="1"/>
    </w:pPr>
    <w:rPr>
      <w:rFonts w:ascii="Arial" w:eastAsia="Times New Roman" w:hAnsi="Arial" w:cs="Arial"/>
      <w:kern w:val="16"/>
      <w:sz w:val="19"/>
      <w:szCs w:val="19"/>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4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266"/>
  </w:style>
  <w:style w:type="paragraph" w:styleId="Header">
    <w:name w:val="header"/>
    <w:basedOn w:val="Normal"/>
    <w:link w:val="HeaderChar"/>
    <w:uiPriority w:val="99"/>
    <w:unhideWhenUsed/>
    <w:rsid w:val="00424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266"/>
  </w:style>
  <w:style w:type="paragraph" w:customStyle="1" w:styleId="Default">
    <w:name w:val="Default"/>
    <w:rsid w:val="00424266"/>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397370"/>
    <w:rPr>
      <w:sz w:val="16"/>
      <w:szCs w:val="16"/>
    </w:rPr>
  </w:style>
  <w:style w:type="paragraph" w:styleId="CommentText">
    <w:name w:val="annotation text"/>
    <w:basedOn w:val="Normal"/>
    <w:link w:val="CommentTextChar"/>
    <w:uiPriority w:val="99"/>
    <w:unhideWhenUsed/>
    <w:rsid w:val="00397370"/>
    <w:pPr>
      <w:spacing w:line="240" w:lineRule="auto"/>
    </w:pPr>
    <w:rPr>
      <w:sz w:val="20"/>
      <w:szCs w:val="20"/>
    </w:rPr>
  </w:style>
  <w:style w:type="character" w:customStyle="1" w:styleId="CommentTextChar">
    <w:name w:val="Comment Text Char"/>
    <w:basedOn w:val="DefaultParagraphFont"/>
    <w:link w:val="CommentText"/>
    <w:uiPriority w:val="99"/>
    <w:rsid w:val="00397370"/>
    <w:rPr>
      <w:sz w:val="20"/>
      <w:szCs w:val="20"/>
    </w:rPr>
  </w:style>
  <w:style w:type="paragraph" w:styleId="CommentSubject">
    <w:name w:val="annotation subject"/>
    <w:basedOn w:val="CommentText"/>
    <w:next w:val="CommentText"/>
    <w:link w:val="CommentSubjectChar"/>
    <w:uiPriority w:val="99"/>
    <w:semiHidden/>
    <w:unhideWhenUsed/>
    <w:rsid w:val="00397370"/>
    <w:rPr>
      <w:b/>
      <w:bCs/>
    </w:rPr>
  </w:style>
  <w:style w:type="character" w:customStyle="1" w:styleId="CommentSubjectChar">
    <w:name w:val="Comment Subject Char"/>
    <w:basedOn w:val="CommentTextChar"/>
    <w:link w:val="CommentSubject"/>
    <w:uiPriority w:val="99"/>
    <w:semiHidden/>
    <w:rsid w:val="00397370"/>
    <w:rPr>
      <w:b/>
      <w:bCs/>
      <w:sz w:val="20"/>
      <w:szCs w:val="20"/>
    </w:rPr>
  </w:style>
  <w:style w:type="paragraph" w:styleId="Revision">
    <w:name w:val="Revision"/>
    <w:hidden/>
    <w:uiPriority w:val="99"/>
    <w:semiHidden/>
    <w:rsid w:val="00397370"/>
    <w:pPr>
      <w:spacing w:after="0" w:line="240" w:lineRule="auto"/>
    </w:pPr>
  </w:style>
  <w:style w:type="paragraph" w:styleId="BalloonText">
    <w:name w:val="Balloon Text"/>
    <w:basedOn w:val="Normal"/>
    <w:link w:val="BalloonTextChar"/>
    <w:uiPriority w:val="99"/>
    <w:semiHidden/>
    <w:unhideWhenUsed/>
    <w:rsid w:val="00397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70"/>
    <w:rPr>
      <w:rFonts w:ascii="Tahoma" w:hAnsi="Tahoma" w:cs="Tahoma"/>
      <w:sz w:val="16"/>
      <w:szCs w:val="16"/>
    </w:rPr>
  </w:style>
  <w:style w:type="character" w:styleId="LineNumber">
    <w:name w:val="line number"/>
    <w:basedOn w:val="DefaultParagraphFont"/>
    <w:uiPriority w:val="99"/>
    <w:semiHidden/>
    <w:unhideWhenUsed/>
    <w:rsid w:val="00DE4B74"/>
  </w:style>
  <w:style w:type="paragraph" w:styleId="BodyTextIndent2">
    <w:name w:val="Body Text Indent 2"/>
    <w:basedOn w:val="Normal"/>
    <w:link w:val="BodyTextIndent2Char"/>
    <w:uiPriority w:val="99"/>
    <w:semiHidden/>
    <w:unhideWhenUsed/>
    <w:rsid w:val="009224FA"/>
    <w:pPr>
      <w:spacing w:after="120" w:line="480" w:lineRule="auto"/>
      <w:ind w:left="360"/>
    </w:pPr>
  </w:style>
  <w:style w:type="character" w:customStyle="1" w:styleId="BodyTextIndent2Char">
    <w:name w:val="Body Text Indent 2 Char"/>
    <w:basedOn w:val="DefaultParagraphFont"/>
    <w:link w:val="BodyTextIndent2"/>
    <w:uiPriority w:val="99"/>
    <w:semiHidden/>
    <w:rsid w:val="009224FA"/>
  </w:style>
  <w:style w:type="paragraph" w:styleId="BodyText3">
    <w:name w:val="Body Text 3"/>
    <w:basedOn w:val="Normal"/>
    <w:link w:val="BodyText3Char"/>
    <w:uiPriority w:val="99"/>
    <w:semiHidden/>
    <w:unhideWhenUsed/>
    <w:rsid w:val="00827E19"/>
    <w:pPr>
      <w:spacing w:after="120"/>
    </w:pPr>
    <w:rPr>
      <w:sz w:val="16"/>
      <w:szCs w:val="16"/>
    </w:rPr>
  </w:style>
  <w:style w:type="character" w:customStyle="1" w:styleId="BodyText3Char">
    <w:name w:val="Body Text 3 Char"/>
    <w:basedOn w:val="DefaultParagraphFont"/>
    <w:link w:val="BodyText3"/>
    <w:uiPriority w:val="99"/>
    <w:semiHidden/>
    <w:rsid w:val="00827E19"/>
    <w:rPr>
      <w:sz w:val="16"/>
      <w:szCs w:val="16"/>
    </w:rPr>
  </w:style>
  <w:style w:type="character" w:customStyle="1" w:styleId="Heading2Char">
    <w:name w:val="Heading 2 Char"/>
    <w:basedOn w:val="DefaultParagraphFont"/>
    <w:link w:val="Heading2"/>
    <w:uiPriority w:val="9"/>
    <w:rsid w:val="00827E19"/>
    <w:rPr>
      <w:rFonts w:ascii="Arial" w:eastAsia="Times New Roman" w:hAnsi="Arial" w:cs="Arial"/>
      <w:kern w:val="16"/>
      <w:sz w:val="19"/>
      <w:szCs w:val="19"/>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DB5F7-A064-4689-B1C5-657B6F67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3</cp:revision>
  <cp:lastPrinted>2015-07-16T18:19:00Z</cp:lastPrinted>
  <dcterms:created xsi:type="dcterms:W3CDTF">2021-12-08T15:49:00Z</dcterms:created>
  <dcterms:modified xsi:type="dcterms:W3CDTF">2022-07-15T17:45:00Z</dcterms:modified>
</cp:coreProperties>
</file>